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D52" w:rsidRDefault="003A3FB9">
      <w:pPr>
        <w:pStyle w:val="Title1"/>
      </w:pPr>
      <w:bookmarkStart w:id="0" w:name="_GoBack"/>
      <w:bookmarkEnd w:id="0"/>
      <w:r>
        <w:t>CONFIDENTIALITY AGREEMENT</w:t>
      </w:r>
    </w:p>
    <w:p w:rsidR="00DE4D52" w:rsidRDefault="00DE4D52">
      <w:pPr>
        <w:pStyle w:val="Spacer"/>
      </w:pPr>
    </w:p>
    <w:p w:rsidR="00DE4D52" w:rsidRDefault="003A3FB9">
      <w:pPr>
        <w:pStyle w:val="BodyText"/>
      </w:pPr>
      <w:r>
        <w:t>This Agreement, entered into as of ______________201</w:t>
      </w:r>
      <w:r w:rsidR="00437FB7">
        <w:t>8</w:t>
      </w:r>
      <w:r>
        <w:t>, is by and between ________________ ("Prospective Purchaser</w:t>
      </w:r>
      <w:r>
        <w:rPr>
          <w:rFonts w:ascii="Arial Unicode MS"/>
        </w:rPr>
        <w:t>”</w:t>
      </w:r>
      <w:r>
        <w:t>) and The Conservation Fund</w:t>
      </w:r>
      <w:r>
        <w:rPr>
          <w:rFonts w:ascii="Arial"/>
          <w:sz w:val="20"/>
          <w:szCs w:val="20"/>
        </w:rPr>
        <w:t xml:space="preserve"> </w:t>
      </w:r>
      <w:r>
        <w:t xml:space="preserve">("TCF") regarding a tract of land in </w:t>
      </w:r>
      <w:r w:rsidR="001B79E2">
        <w:t>Wayne and Glynn Counties</w:t>
      </w:r>
      <w:r>
        <w:t xml:space="preserve">, </w:t>
      </w:r>
      <w:r w:rsidR="001B79E2">
        <w:t>Georgia</w:t>
      </w:r>
      <w:r>
        <w:t xml:space="preserve">, known as </w:t>
      </w:r>
      <w:r w:rsidR="001B79E2">
        <w:t>Sansavilla</w:t>
      </w:r>
      <w:r>
        <w:t xml:space="preserve">.  Prospective Purchaser and TCF are sometimes collectively referred to as the </w:t>
      </w:r>
      <w:r>
        <w:rPr>
          <w:rFonts w:ascii="Arial Unicode MS"/>
        </w:rPr>
        <w:t>“</w:t>
      </w:r>
      <w:r>
        <w:t>Parties</w:t>
      </w:r>
      <w:r>
        <w:rPr>
          <w:rFonts w:ascii="Arial Unicode MS"/>
        </w:rPr>
        <w:t xml:space="preserve">” </w:t>
      </w:r>
      <w:r>
        <w:t xml:space="preserve">and individually as a </w:t>
      </w:r>
      <w:r>
        <w:rPr>
          <w:rFonts w:ascii="Arial Unicode MS"/>
        </w:rPr>
        <w:t>“</w:t>
      </w:r>
      <w:r>
        <w:t>Party.</w:t>
      </w:r>
      <w:r>
        <w:rPr>
          <w:rFonts w:ascii="Arial Unicode MS"/>
        </w:rPr>
        <w:t>”</w:t>
      </w:r>
    </w:p>
    <w:p w:rsidR="00DE4D52" w:rsidRDefault="003A3FB9">
      <w:pPr>
        <w:pStyle w:val="BodyText"/>
      </w:pPr>
      <w:r>
        <w:t>Prospective Purchaser and TCF agree as follows:</w:t>
      </w:r>
    </w:p>
    <w:p w:rsidR="00DE4D52" w:rsidRDefault="003A3FB9">
      <w:pPr>
        <w:pStyle w:val="Heading"/>
        <w:numPr>
          <w:ilvl w:val="0"/>
          <w:numId w:val="3"/>
        </w:numPr>
        <w:tabs>
          <w:tab w:val="num" w:pos="1440"/>
        </w:tabs>
        <w:ind w:left="720"/>
        <w:rPr>
          <w:rFonts w:eastAsia="Times New Roman" w:hAnsi="Times New Roman" w:cs="Times New Roman"/>
        </w:rPr>
      </w:pPr>
      <w:r>
        <w:rPr>
          <w:b/>
          <w:bCs/>
          <w:u w:val="single"/>
        </w:rPr>
        <w:t>Confidential Information</w:t>
      </w:r>
      <w:r>
        <w:rPr>
          <w:b/>
          <w:bCs/>
        </w:rPr>
        <w:t xml:space="preserve">. </w:t>
      </w:r>
      <w:r>
        <w:t xml:space="preserve"> "Confidential Information" means all information concerning TCF or any of its properties, subsidiaries or affiliates disclosed to Prospective Purchaser or its agents or employees in any manner, whether orally, visually or in tangible form (including, without limitation, documents, devices and computer readable media), and all copies, whether created by Prospective Purchaser </w:t>
      </w:r>
      <w:r w:rsidR="00437FB7">
        <w:t>or TCF</w:t>
      </w:r>
      <w:r>
        <w:t xml:space="preserve">. Provided, however, that, Confidential Information shall not include any information that Prospective Purchaser can demonstrate: (a) was in its possession prior to disclosure hereunder; (b) was generally known, in the industry, at the time of disclosure hereunder, or becomes so generally known after such disclosure, through no act of the recipient or its employees or agents; or (c) was received by Prospective Purchaser from any third party who is under no obligation to TCF to maintain the confidentiality of such information at the time of such disclosure.  If a particular portion or aspect of Confidential Information becomes subject to any of the foregoing exceptions, all other portions or aspects of such </w:t>
      </w:r>
      <w:proofErr w:type="gramStart"/>
      <w:r>
        <w:t>information</w:t>
      </w:r>
      <w:proofErr w:type="gramEnd"/>
      <w:r>
        <w:t xml:space="preserve"> shall remain subject to all of the provisions of this Agreement.</w:t>
      </w:r>
    </w:p>
    <w:p w:rsidR="00DE4D52" w:rsidRDefault="003A3FB9">
      <w:pPr>
        <w:pStyle w:val="Heading"/>
        <w:numPr>
          <w:ilvl w:val="0"/>
          <w:numId w:val="3"/>
        </w:numPr>
        <w:tabs>
          <w:tab w:val="num" w:pos="1440"/>
        </w:tabs>
        <w:ind w:left="720"/>
        <w:rPr>
          <w:rFonts w:eastAsia="Times New Roman" w:hAnsi="Times New Roman" w:cs="Times New Roman"/>
        </w:rPr>
      </w:pPr>
      <w:r>
        <w:rPr>
          <w:b/>
          <w:bCs/>
          <w:u w:val="single"/>
        </w:rPr>
        <w:t>Use of Confidential Information</w:t>
      </w:r>
      <w:r>
        <w:rPr>
          <w:b/>
          <w:bCs/>
        </w:rPr>
        <w:t>.</w:t>
      </w:r>
      <w:r>
        <w:t xml:space="preserve">  Prospective Purchaser shall use Confidential Information solely for the purpose of discussing a transaction with respect to the certain forestland TCF owns in </w:t>
      </w:r>
      <w:r w:rsidR="003609E9">
        <w:t>Georgia</w:t>
      </w:r>
      <w:r>
        <w:t>.</w:t>
      </w:r>
    </w:p>
    <w:p w:rsidR="00DE4D52" w:rsidRDefault="003A3FB9">
      <w:pPr>
        <w:pStyle w:val="Heading"/>
        <w:numPr>
          <w:ilvl w:val="0"/>
          <w:numId w:val="3"/>
        </w:numPr>
        <w:tabs>
          <w:tab w:val="num" w:pos="1440"/>
        </w:tabs>
        <w:ind w:left="720"/>
        <w:rPr>
          <w:rFonts w:eastAsia="Times New Roman" w:hAnsi="Times New Roman" w:cs="Times New Roman"/>
        </w:rPr>
      </w:pPr>
      <w:r>
        <w:rPr>
          <w:b/>
          <w:bCs/>
          <w:u w:val="single"/>
        </w:rPr>
        <w:t>Disclosure of Confidential Information</w:t>
      </w:r>
      <w:r>
        <w:rPr>
          <w:b/>
          <w:bCs/>
        </w:rPr>
        <w:t>.</w:t>
      </w:r>
      <w:r>
        <w:t xml:space="preserve">  Prospective Purchaser shall disclose Confidential Information only to those of its employees or advisors who have a need to know such information to analyze or carry out the transaction ("Representatives").    </w:t>
      </w:r>
    </w:p>
    <w:p w:rsidR="00DE4D52" w:rsidRDefault="003A3FB9">
      <w:pPr>
        <w:pStyle w:val="Indent1"/>
      </w:pPr>
      <w:r>
        <w:t>Except (a) as described in paragraph 5, or (b) with the prior written consent of TCF, Prospective Purchaser shall not disclose any Confidential Information to any third party and shall prevent the disclosure of such information by Prospective Purchaser</w:t>
      </w:r>
      <w:r>
        <w:rPr>
          <w:rFonts w:ascii="Arial Unicode MS"/>
        </w:rPr>
        <w:t>’</w:t>
      </w:r>
      <w:r>
        <w:t>s employees or agents.</w:t>
      </w:r>
    </w:p>
    <w:p w:rsidR="00DE4D52" w:rsidRDefault="003A3FB9">
      <w:pPr>
        <w:pStyle w:val="Indent1"/>
      </w:pPr>
      <w:r>
        <w:t>Without the prior written consent of TCF , Prospective Purchaser shall not, and will cause its Affiliates and Representatives not to (</w:t>
      </w:r>
      <w:proofErr w:type="spellStart"/>
      <w:r>
        <w:t>i</w:t>
      </w:r>
      <w:proofErr w:type="spellEnd"/>
      <w:r>
        <w:t xml:space="preserve">) disclose to any person or entity the fact that it has received the Confidential Information, that negotiations with respect to a transaction are taking place or the nature of or outcome of such negotiations, (ii) represent, directly or indirectly, whether orally or in writing, that the transaction, the Prospective Purchaser or any product or </w:t>
      </w:r>
      <w:r>
        <w:lastRenderedPageBreak/>
        <w:t>service provided by the Prospective Purchaser or any of its affiliates has been approved or endorsed by TCF or (iii) use, or permit the use of, the name of TCF or any of its affiliates</w:t>
      </w:r>
      <w:r>
        <w:rPr>
          <w:rFonts w:ascii="Arial Unicode MS"/>
        </w:rPr>
        <w:t xml:space="preserve">’ </w:t>
      </w:r>
      <w:r>
        <w:t>or any derivative thereof, including but not limited to any logos or trademarks, for any promotional purpose or any other activities, including in any marketing materials, publications, advertising or press releases.</w:t>
      </w:r>
    </w:p>
    <w:p w:rsidR="00DE4D52" w:rsidRDefault="003A3FB9">
      <w:pPr>
        <w:pStyle w:val="Heading"/>
        <w:numPr>
          <w:ilvl w:val="0"/>
          <w:numId w:val="3"/>
        </w:numPr>
        <w:tabs>
          <w:tab w:val="num" w:pos="1440"/>
        </w:tabs>
        <w:ind w:left="720"/>
        <w:rPr>
          <w:rFonts w:eastAsia="Times New Roman" w:hAnsi="Times New Roman" w:cs="Times New Roman"/>
        </w:rPr>
      </w:pPr>
      <w:r>
        <w:rPr>
          <w:b/>
          <w:bCs/>
          <w:u w:val="single"/>
        </w:rPr>
        <w:t>Reproduction and Return of Confidential Information</w:t>
      </w:r>
      <w:r>
        <w:rPr>
          <w:b/>
          <w:bCs/>
        </w:rPr>
        <w:t>.</w:t>
      </w:r>
      <w:r>
        <w:t xml:space="preserve">   Prospective Purchaser agrees not to reproduce or copy Confidential Information without TCF</w:t>
      </w:r>
      <w:r>
        <w:rPr>
          <w:rFonts w:ascii="Arial Unicode MS"/>
          <w:lang w:val="fr-FR"/>
        </w:rPr>
        <w:t>’</w:t>
      </w:r>
      <w:r>
        <w:t>s prior written permission in each case, except as reasonably required to analyze and accomplish the transaction.  Upon demand by TCF at any time, the Prospective Purchaser shall promptly return to TCF or destroy, at TCF</w:t>
      </w:r>
      <w:r>
        <w:rPr>
          <w:rFonts w:ascii="Arial Unicode MS"/>
          <w:lang w:val="fr-FR"/>
        </w:rPr>
        <w:t>’</w:t>
      </w:r>
      <w:r>
        <w:t>s option, all tangible materials that disclose or embody Confidential Information.</w:t>
      </w:r>
    </w:p>
    <w:p w:rsidR="00DE4D52" w:rsidRDefault="003A3FB9">
      <w:pPr>
        <w:pStyle w:val="Heading"/>
        <w:numPr>
          <w:ilvl w:val="0"/>
          <w:numId w:val="3"/>
        </w:numPr>
        <w:tabs>
          <w:tab w:val="num" w:pos="1440"/>
        </w:tabs>
        <w:ind w:left="720"/>
        <w:rPr>
          <w:rFonts w:eastAsia="Times New Roman" w:hAnsi="Times New Roman" w:cs="Times New Roman"/>
        </w:rPr>
      </w:pPr>
      <w:r>
        <w:rPr>
          <w:b/>
          <w:bCs/>
          <w:u w:val="single"/>
        </w:rPr>
        <w:t>Notice of Required Disclosure</w:t>
      </w:r>
      <w:r>
        <w:rPr>
          <w:b/>
          <w:bCs/>
        </w:rPr>
        <w:t>.</w:t>
      </w:r>
      <w:r>
        <w:t xml:space="preserve"> If Prospective Purchaser is required to disclose TCF</w:t>
      </w:r>
      <w:r>
        <w:rPr>
          <w:rFonts w:ascii="Arial Unicode MS"/>
          <w:lang w:val="fr-FR"/>
        </w:rPr>
        <w:t>’</w:t>
      </w:r>
      <w:r>
        <w:t xml:space="preserve">s Confidential Information pursuant to subpoena or a similar request or order of a court or administrative agency, Prospective Purchaser shall promptly, </w:t>
      </w:r>
      <w:r w:rsidR="003609E9">
        <w:t>notify TCF</w:t>
      </w:r>
      <w:r>
        <w:t xml:space="preserve"> of the order or request so that TCF may, in its discretion, seek protective orders.</w:t>
      </w:r>
    </w:p>
    <w:p w:rsidR="00DE4D52" w:rsidRDefault="003A3FB9">
      <w:pPr>
        <w:pStyle w:val="Heading"/>
        <w:numPr>
          <w:ilvl w:val="0"/>
          <w:numId w:val="3"/>
        </w:numPr>
        <w:tabs>
          <w:tab w:val="num" w:pos="1440"/>
        </w:tabs>
        <w:ind w:left="720"/>
        <w:rPr>
          <w:rFonts w:eastAsia="Times New Roman" w:hAnsi="Times New Roman" w:cs="Times New Roman"/>
        </w:rPr>
      </w:pPr>
      <w:r>
        <w:rPr>
          <w:b/>
          <w:bCs/>
          <w:u w:val="single"/>
        </w:rPr>
        <w:t>Governing Law</w:t>
      </w:r>
      <w:r>
        <w:rPr>
          <w:b/>
          <w:bCs/>
        </w:rPr>
        <w:t>.</w:t>
      </w:r>
      <w:r>
        <w:t xml:space="preserve">  This Agreement and all actions related to it shall be governed by the laws of Virginia excluding its choice of law principles. </w:t>
      </w:r>
    </w:p>
    <w:p w:rsidR="00DE4D52" w:rsidRDefault="003A3FB9">
      <w:pPr>
        <w:pStyle w:val="Heading"/>
        <w:numPr>
          <w:ilvl w:val="0"/>
          <w:numId w:val="3"/>
        </w:numPr>
        <w:tabs>
          <w:tab w:val="num" w:pos="1440"/>
        </w:tabs>
        <w:ind w:left="720"/>
        <w:rPr>
          <w:rFonts w:eastAsia="Times New Roman" w:hAnsi="Times New Roman" w:cs="Times New Roman"/>
        </w:rPr>
      </w:pPr>
      <w:r>
        <w:rPr>
          <w:b/>
          <w:bCs/>
          <w:u w:val="single"/>
        </w:rPr>
        <w:t>Specific Performance</w:t>
      </w:r>
      <w:r>
        <w:rPr>
          <w:b/>
          <w:bCs/>
        </w:rPr>
        <w:t>.</w:t>
      </w:r>
      <w:r>
        <w:t xml:space="preserve">  The parties acknowledge that it may be impossible to measure the damages that would be suffered by TCF if the Prospective Purchaser fails to comply with this Agreement and that in the event of any such failure, TCF may not have an adequate remedy at law.  TCF shall, therefore, in the event of any breach of this Agreement be entitled in addition to any other rights and remedies to seek a court order granting immediate injunctive relief without having to post a bond.  The Prospective Purchaser shall not urge, as a defense to any proceeding for such specific performance or injunctive relief, that TCF has an adequate remedy at law.</w:t>
      </w:r>
    </w:p>
    <w:p w:rsidR="00DE4D52" w:rsidRDefault="003A3FB9">
      <w:pPr>
        <w:pStyle w:val="Heading"/>
        <w:numPr>
          <w:ilvl w:val="0"/>
          <w:numId w:val="3"/>
        </w:numPr>
        <w:tabs>
          <w:tab w:val="num" w:pos="1440"/>
        </w:tabs>
        <w:ind w:left="720"/>
        <w:rPr>
          <w:rFonts w:eastAsia="Times New Roman" w:hAnsi="Times New Roman" w:cs="Times New Roman"/>
        </w:rPr>
      </w:pPr>
      <w:r>
        <w:rPr>
          <w:b/>
          <w:bCs/>
          <w:u w:val="single"/>
        </w:rPr>
        <w:t>Use of Name</w:t>
      </w:r>
      <w:r>
        <w:rPr>
          <w:b/>
          <w:bCs/>
        </w:rPr>
        <w:t>.</w:t>
      </w:r>
      <w:r>
        <w:t xml:space="preserve">  Neither Party may use the name, logos, or trademarks of the other party in connection with any advertising, publicity materials or any other activities without the prior written consent of the other party.</w:t>
      </w:r>
    </w:p>
    <w:p w:rsidR="00DE4D52" w:rsidRDefault="003A3FB9">
      <w:pPr>
        <w:pStyle w:val="Heading"/>
        <w:numPr>
          <w:ilvl w:val="0"/>
          <w:numId w:val="3"/>
        </w:numPr>
        <w:tabs>
          <w:tab w:val="num" w:pos="1440"/>
        </w:tabs>
        <w:ind w:left="720"/>
        <w:rPr>
          <w:rFonts w:eastAsia="Times New Roman" w:hAnsi="Times New Roman" w:cs="Times New Roman"/>
        </w:rPr>
      </w:pPr>
      <w:r>
        <w:rPr>
          <w:b/>
          <w:bCs/>
          <w:u w:val="single"/>
        </w:rPr>
        <w:t>Assigns</w:t>
      </w:r>
      <w:r>
        <w:rPr>
          <w:b/>
          <w:bCs/>
        </w:rPr>
        <w:t>.</w:t>
      </w:r>
      <w:r>
        <w:t xml:space="preserve">  The rights and obligations herein shall bind the Parties, their legal representatives, successors and assigns.</w:t>
      </w:r>
    </w:p>
    <w:p w:rsidR="00DE4D52" w:rsidRDefault="003A3FB9">
      <w:pPr>
        <w:pStyle w:val="Heading"/>
        <w:numPr>
          <w:ilvl w:val="0"/>
          <w:numId w:val="3"/>
        </w:numPr>
        <w:tabs>
          <w:tab w:val="num" w:pos="1440"/>
        </w:tabs>
        <w:ind w:left="720"/>
        <w:rPr>
          <w:rFonts w:eastAsia="Times New Roman" w:hAnsi="Times New Roman" w:cs="Times New Roman"/>
        </w:rPr>
      </w:pPr>
      <w:proofErr w:type="spellStart"/>
      <w:r>
        <w:rPr>
          <w:b/>
          <w:bCs/>
          <w:u w:val="single"/>
          <w:lang w:val="es-ES_tradnl"/>
        </w:rPr>
        <w:t>Duration</w:t>
      </w:r>
      <w:proofErr w:type="spellEnd"/>
      <w:r>
        <w:rPr>
          <w:b/>
          <w:bCs/>
        </w:rPr>
        <w:t>.</w:t>
      </w:r>
      <w:r>
        <w:t xml:space="preserve">  This Agreement shall remain in full force and effect for a period of five (5) years from the Effective Date.</w:t>
      </w:r>
    </w:p>
    <w:p w:rsidR="00DE4D52" w:rsidRDefault="003A3FB9">
      <w:pPr>
        <w:pStyle w:val="Heading"/>
        <w:numPr>
          <w:ilvl w:val="0"/>
          <w:numId w:val="3"/>
        </w:numPr>
        <w:tabs>
          <w:tab w:val="num" w:pos="1440"/>
        </w:tabs>
        <w:ind w:left="720"/>
        <w:rPr>
          <w:rFonts w:eastAsia="Times New Roman" w:hAnsi="Times New Roman" w:cs="Times New Roman"/>
        </w:rPr>
      </w:pPr>
      <w:r>
        <w:rPr>
          <w:b/>
          <w:bCs/>
          <w:u w:val="single"/>
        </w:rPr>
        <w:t>Entire Agreement; Amendment</w:t>
      </w:r>
      <w:r>
        <w:rPr>
          <w:b/>
          <w:bCs/>
        </w:rPr>
        <w:t xml:space="preserve">. </w:t>
      </w:r>
      <w:r>
        <w:t xml:space="preserve"> This Agreement expresses the entire agreement and understanding of the Parties with respect to the subject matter hereof and supersedes all prior oral or written agreements, commitments and understandings pertaining to the subject matter hereof.  Any modifications of or changes to this Agreement shall be in writing and signed by both Parties.</w:t>
      </w:r>
    </w:p>
    <w:p w:rsidR="00DE4D52" w:rsidRDefault="00DE4D52">
      <w:pPr>
        <w:pStyle w:val="Body"/>
      </w:pPr>
    </w:p>
    <w:p w:rsidR="00DE4D52" w:rsidRDefault="003A3FB9">
      <w:pPr>
        <w:pStyle w:val="BodyText"/>
        <w:widowControl w:val="0"/>
        <w:ind w:firstLine="0"/>
      </w:pPr>
      <w:r>
        <w:t xml:space="preserve">IN WITNESS WHEREOF, the undersigned have executed this Agreement as of the date first set forth above. </w:t>
      </w:r>
    </w:p>
    <w:tbl>
      <w:tblPr>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708"/>
        <w:gridCol w:w="5868"/>
      </w:tblGrid>
      <w:tr w:rsidR="00DE4D52">
        <w:trPr>
          <w:trHeight w:val="4850"/>
        </w:trPr>
        <w:tc>
          <w:tcPr>
            <w:tcW w:w="3708" w:type="dxa"/>
            <w:tcBorders>
              <w:top w:val="nil"/>
              <w:left w:val="nil"/>
              <w:bottom w:val="nil"/>
              <w:right w:val="nil"/>
            </w:tcBorders>
            <w:shd w:val="clear" w:color="auto" w:fill="auto"/>
            <w:tcMar>
              <w:top w:w="80" w:type="dxa"/>
              <w:left w:w="80" w:type="dxa"/>
              <w:bottom w:w="80" w:type="dxa"/>
              <w:right w:w="80" w:type="dxa"/>
            </w:tcMar>
          </w:tcPr>
          <w:p w:rsidR="00DE4D52" w:rsidRDefault="00DE4D52"/>
        </w:tc>
        <w:tc>
          <w:tcPr>
            <w:tcW w:w="5868" w:type="dxa"/>
            <w:tcBorders>
              <w:top w:val="nil"/>
              <w:left w:val="nil"/>
              <w:bottom w:val="nil"/>
              <w:right w:val="nil"/>
            </w:tcBorders>
            <w:shd w:val="clear" w:color="auto" w:fill="auto"/>
            <w:tcMar>
              <w:top w:w="80" w:type="dxa"/>
              <w:left w:w="80" w:type="dxa"/>
              <w:bottom w:w="80" w:type="dxa"/>
              <w:right w:w="80" w:type="dxa"/>
            </w:tcMar>
          </w:tcPr>
          <w:p w:rsidR="00DE4D52" w:rsidRDefault="003A3FB9">
            <w:pPr>
              <w:pStyle w:val="BodyText2"/>
            </w:pPr>
            <w:r>
              <w:rPr>
                <w:b/>
                <w:bCs/>
              </w:rPr>
              <w:t xml:space="preserve">Prospective Purchaser  </w:t>
            </w:r>
            <w:r>
              <w:rPr>
                <w:b/>
                <w:bCs/>
              </w:rPr>
              <w:br/>
            </w:r>
            <w:r>
              <w:t>pursuant to delegated authority</w:t>
            </w:r>
            <w:r>
              <w:rPr>
                <w:b/>
                <w:bCs/>
              </w:rPr>
              <w:br/>
            </w:r>
            <w:r>
              <w:rPr>
                <w:b/>
                <w:bCs/>
              </w:rPr>
              <w:br/>
            </w:r>
            <w:r>
              <w:t xml:space="preserve">By: </w:t>
            </w:r>
            <w:r>
              <w:rPr>
                <w:u w:val="single"/>
              </w:rPr>
              <w:tab/>
            </w:r>
            <w:r>
              <w:rPr>
                <w:u w:val="single"/>
              </w:rPr>
              <w:tab/>
            </w:r>
            <w:r>
              <w:rPr>
                <w:u w:val="single"/>
              </w:rPr>
              <w:tab/>
            </w:r>
            <w:r>
              <w:rPr>
                <w:u w:val="single"/>
              </w:rPr>
              <w:tab/>
            </w:r>
            <w:r>
              <w:rPr>
                <w:u w:val="single"/>
              </w:rPr>
              <w:tab/>
            </w:r>
            <w:r>
              <w:rPr>
                <w:u w:val="single"/>
              </w:rPr>
              <w:tab/>
            </w:r>
            <w:r>
              <w:rPr>
                <w:u w:val="single"/>
              </w:rPr>
              <w:tab/>
            </w:r>
            <w:r>
              <w:br/>
              <w:t xml:space="preserve"> </w:t>
            </w:r>
          </w:p>
          <w:p w:rsidR="00DE4D52" w:rsidRDefault="003A3FB9">
            <w:pPr>
              <w:pStyle w:val="BodyText2"/>
            </w:pPr>
            <w:r>
              <w:t xml:space="preserve">                     Authorized Signatory</w:t>
            </w:r>
          </w:p>
          <w:p w:rsidR="003B4903" w:rsidRDefault="003B4903">
            <w:pPr>
              <w:pStyle w:val="BodyText2"/>
            </w:pPr>
            <w:r>
              <w:t xml:space="preserve">Its               </w:t>
            </w:r>
            <w:r>
              <w:rPr>
                <w:u w:val="single"/>
              </w:rPr>
              <w:tab/>
            </w:r>
            <w:r>
              <w:rPr>
                <w:u w:val="single"/>
              </w:rPr>
              <w:tab/>
            </w:r>
            <w:r>
              <w:rPr>
                <w:u w:val="single"/>
              </w:rPr>
              <w:tab/>
            </w:r>
            <w:r>
              <w:rPr>
                <w:u w:val="single"/>
              </w:rPr>
              <w:tab/>
            </w:r>
            <w:r>
              <w:rPr>
                <w:u w:val="single"/>
              </w:rPr>
              <w:tab/>
            </w:r>
            <w:r>
              <w:rPr>
                <w:u w:val="single"/>
              </w:rPr>
              <w:tab/>
            </w:r>
          </w:p>
          <w:p w:rsidR="00E24E63" w:rsidRDefault="00E24E63">
            <w:pPr>
              <w:pStyle w:val="BodyText2"/>
            </w:pPr>
          </w:p>
          <w:p w:rsidR="00E24E63" w:rsidRDefault="00E24E63">
            <w:pPr>
              <w:pStyle w:val="BodyText2"/>
            </w:pPr>
            <w:r>
              <w:t xml:space="preserve">Name: </w:t>
            </w:r>
            <w:r>
              <w:rPr>
                <w:u w:val="single"/>
              </w:rPr>
              <w:tab/>
            </w:r>
            <w:r>
              <w:rPr>
                <w:u w:val="single"/>
              </w:rPr>
              <w:tab/>
            </w:r>
            <w:r>
              <w:rPr>
                <w:u w:val="single"/>
              </w:rPr>
              <w:tab/>
            </w:r>
            <w:r>
              <w:rPr>
                <w:u w:val="single"/>
              </w:rPr>
              <w:tab/>
            </w:r>
            <w:r>
              <w:rPr>
                <w:u w:val="single"/>
              </w:rPr>
              <w:tab/>
            </w:r>
            <w:r>
              <w:rPr>
                <w:u w:val="single"/>
              </w:rPr>
              <w:tab/>
            </w:r>
            <w:r>
              <w:rPr>
                <w:u w:val="single"/>
              </w:rPr>
              <w:tab/>
            </w:r>
            <w:r>
              <w:br/>
            </w:r>
            <w:r>
              <w:br/>
              <w:t xml:space="preserve">Title: </w:t>
            </w:r>
            <w:r>
              <w:rPr>
                <w:u w:val="single"/>
              </w:rPr>
              <w:tab/>
            </w:r>
            <w:r>
              <w:rPr>
                <w:u w:val="single"/>
              </w:rPr>
              <w:tab/>
            </w:r>
            <w:r>
              <w:rPr>
                <w:u w:val="single"/>
              </w:rPr>
              <w:tab/>
            </w:r>
            <w:r>
              <w:rPr>
                <w:u w:val="single"/>
              </w:rPr>
              <w:tab/>
            </w:r>
            <w:r>
              <w:rPr>
                <w:u w:val="single"/>
              </w:rPr>
              <w:tab/>
            </w:r>
            <w:r>
              <w:rPr>
                <w:u w:val="single"/>
              </w:rPr>
              <w:tab/>
            </w:r>
            <w:r>
              <w:rPr>
                <w:u w:val="single"/>
              </w:rPr>
              <w:tab/>
            </w:r>
          </w:p>
          <w:p w:rsidR="00DE4D52" w:rsidRDefault="003A3FB9">
            <w:pPr>
              <w:pStyle w:val="BodyText2"/>
            </w:pPr>
            <w:r>
              <w:rPr>
                <w:b/>
                <w:bCs/>
              </w:rPr>
              <w:br/>
            </w:r>
            <w:r>
              <w:rPr>
                <w:u w:val="single"/>
              </w:rPr>
              <w:br/>
            </w:r>
          </w:p>
        </w:tc>
      </w:tr>
      <w:tr w:rsidR="00DE4D52">
        <w:trPr>
          <w:trHeight w:val="2690"/>
        </w:trPr>
        <w:tc>
          <w:tcPr>
            <w:tcW w:w="3708" w:type="dxa"/>
            <w:tcBorders>
              <w:top w:val="nil"/>
              <w:left w:val="nil"/>
              <w:bottom w:val="nil"/>
              <w:right w:val="nil"/>
            </w:tcBorders>
            <w:shd w:val="clear" w:color="auto" w:fill="auto"/>
            <w:tcMar>
              <w:top w:w="80" w:type="dxa"/>
              <w:left w:w="80" w:type="dxa"/>
              <w:bottom w:w="80" w:type="dxa"/>
              <w:right w:w="80" w:type="dxa"/>
            </w:tcMar>
          </w:tcPr>
          <w:p w:rsidR="00DE4D52" w:rsidRDefault="00DE4D52"/>
        </w:tc>
        <w:tc>
          <w:tcPr>
            <w:tcW w:w="5868" w:type="dxa"/>
            <w:tcBorders>
              <w:top w:val="nil"/>
              <w:left w:val="nil"/>
              <w:bottom w:val="nil"/>
              <w:right w:val="nil"/>
            </w:tcBorders>
            <w:shd w:val="clear" w:color="auto" w:fill="auto"/>
            <w:tcMar>
              <w:top w:w="80" w:type="dxa"/>
              <w:left w:w="80" w:type="dxa"/>
              <w:bottom w:w="80" w:type="dxa"/>
              <w:right w:w="80" w:type="dxa"/>
            </w:tcMar>
          </w:tcPr>
          <w:p w:rsidR="00DE4D52" w:rsidRDefault="00DE4D52">
            <w:pPr>
              <w:pStyle w:val="BodyText2"/>
            </w:pPr>
          </w:p>
        </w:tc>
      </w:tr>
    </w:tbl>
    <w:p w:rsidR="00DE4D52" w:rsidRDefault="00DE4D52">
      <w:pPr>
        <w:pStyle w:val="BodyText"/>
        <w:widowControl w:val="0"/>
        <w:ind w:firstLine="0"/>
      </w:pPr>
    </w:p>
    <w:sectPr w:rsidR="00DE4D52" w:rsidSect="00DE4D52">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BFD" w:rsidRDefault="00E72BFD" w:rsidP="00DE4D52">
      <w:r>
        <w:separator/>
      </w:r>
    </w:p>
  </w:endnote>
  <w:endnote w:type="continuationSeparator" w:id="0">
    <w:p w:rsidR="00E72BFD" w:rsidRDefault="00E72BFD" w:rsidP="00DE4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D52" w:rsidRDefault="00DE4D52">
    <w:pPr>
      <w:pStyle w:val="Footer"/>
      <w:tabs>
        <w:tab w:val="clear" w:pos="9360"/>
        <w:tab w:val="right" w:pos="9340"/>
      </w:tabs>
      <w:rPr>
        <w:sz w:val="16"/>
        <w:szCs w:val="16"/>
      </w:rPr>
    </w:pPr>
  </w:p>
  <w:p w:rsidR="00DE4D52" w:rsidRDefault="003A3FB9">
    <w:pPr>
      <w:pStyle w:val="Body"/>
      <w:tabs>
        <w:tab w:val="center" w:pos="4680"/>
      </w:tabs>
    </w:pPr>
    <w:r>
      <w:tab/>
      <w:t>-</w:t>
    </w:r>
    <w:r w:rsidR="00577204">
      <w:fldChar w:fldCharType="begin"/>
    </w:r>
    <w:r>
      <w:instrText xml:space="preserve"> PAGE </w:instrText>
    </w:r>
    <w:r w:rsidR="00577204">
      <w:fldChar w:fldCharType="separate"/>
    </w:r>
    <w:r w:rsidR="000021DF">
      <w:rPr>
        <w:noProof/>
      </w:rPr>
      <w:t>3</w:t>
    </w:r>
    <w:r w:rsidR="00577204">
      <w:fldChar w:fldCharType="end"/>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D52" w:rsidRDefault="00DE4D52">
    <w:pPr>
      <w:pStyle w:val="Footer"/>
      <w:tabs>
        <w:tab w:val="clear" w:pos="9360"/>
        <w:tab w:val="right" w:pos="93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BFD" w:rsidRDefault="00E72BFD" w:rsidP="00DE4D52">
      <w:r>
        <w:separator/>
      </w:r>
    </w:p>
  </w:footnote>
  <w:footnote w:type="continuationSeparator" w:id="0">
    <w:p w:rsidR="00E72BFD" w:rsidRDefault="00E72BFD" w:rsidP="00DE4D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D52" w:rsidRDefault="003B4903">
    <w:pPr>
      <w:pStyle w:val="HeaderFooter"/>
    </w:pPr>
    <w:r>
      <w:rPr>
        <w:noProof/>
      </w:rPr>
      <mc:AlternateContent>
        <mc:Choice Requires="wpg">
          <w:drawing>
            <wp:anchor distT="152400" distB="152400" distL="152400" distR="152400" simplePos="0" relativeHeight="251657216" behindDoc="1" locked="0" layoutInCell="1" allowOverlap="1">
              <wp:simplePos x="0" y="0"/>
              <wp:positionH relativeFrom="page">
                <wp:posOffset>914400</wp:posOffset>
              </wp:positionH>
              <wp:positionV relativeFrom="page">
                <wp:posOffset>9372600</wp:posOffset>
              </wp:positionV>
              <wp:extent cx="731520" cy="137160"/>
              <wp:effectExtent l="0" t="0" r="1905"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 cy="137160"/>
                        <a:chOff x="0" y="0"/>
                        <a:chExt cx="731520" cy="137160"/>
                      </a:xfrm>
                    </wpg:grpSpPr>
                    <wps:wsp>
                      <wps:cNvPr id="5" name="Rectangle 3"/>
                      <wps:cNvSpPr>
                        <a:spLocks noChangeArrowheads="1"/>
                      </wps:cNvSpPr>
                      <wps:spPr bwMode="auto">
                        <a:xfrm>
                          <a:off x="0" y="0"/>
                          <a:ext cx="731520" cy="137160"/>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wps:wsp>
                      <wps:cNvPr id="6" name="Rectangle 4"/>
                      <wps:cNvSpPr>
                        <a:spLocks noChangeArrowheads="1"/>
                      </wps:cNvSpPr>
                      <wps:spPr bwMode="auto">
                        <a:xfrm>
                          <a:off x="0" y="0"/>
                          <a:ext cx="73152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rsidR="00DE4D52" w:rsidRDefault="003A3FB9">
                            <w:pPr>
                              <w:pStyle w:val="Body"/>
                            </w:pPr>
                            <w:r>
                              <w:rPr>
                                <w:sz w:val="16"/>
                                <w:szCs w:val="16"/>
                              </w:rPr>
                              <w:t>8419727_7</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 o:spid="_x0000_s1026" style="position:absolute;margin-left:1in;margin-top:738pt;width:57.6pt;height:10.8pt;z-index:-251659264;mso-wrap-distance-left:12pt;mso-wrap-distance-top:12pt;mso-wrap-distance-right:12pt;mso-wrap-distance-bottom:12pt;mso-position-horizontal-relative:page;mso-position-vertical-relative:page" coordsize="7315,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">
              <v:rect id="Rectangle 3" o:spid="_x0000_s1027" style="position:absolute;width:7315;height:1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DkFsMA&#10;AADaAAAADwAAAGRycy9kb3ducmV2LnhtbESPQWsCMRSE7wX/Q3iCl1ITpdp2a5TSUvDgRbc/4LF5&#10;3WzdvCxJXNd/3wiCx2FmvmFWm8G1oqcQG88aZlMFgrjypuFaw0/5/fQKIiZkg61n0nChCJv16GGF&#10;hfFn3lN/SLXIEI4FarApdYWUsbLkME59R5y9Xx8cpixDLU3Ac4a7Vs6VWkqHDecFix19WqqOh5PT&#10;8BL+nl1Sqr+8bXfl16K0/eNp0HoyHj7eQSQa0j18a2+NhgVcr+Qb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7DkFsMAAADaAAAADwAAAAAAAAAAAAAAAACYAgAAZHJzL2Rv&#10;d25yZXYueG1sUEsFBgAAAAAEAAQA9QAAAIgDAAAAAA==&#10;" stroked="f" strokeweight="1pt">
                <v:stroke miterlimit="4"/>
              </v:rect>
              <v:rect id="Rectangle 4" o:spid="_x0000_s1028" style="position:absolute;width:7315;height:1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fXncUA&#10;AADaAAAADwAAAGRycy9kb3ducmV2LnhtbESPT2vCQBTE7wW/w/IKvRTd2GKU6CpaWmlv8c/B4yP7&#10;zIZm38bs1sRv3y0IPQ4z8xtmseptLa7U+sqxgvEoAUFcOF1xqeB4+BjOQPiArLF2TApu5GG1HDws&#10;MNOu4x1d96EUEcI+QwUmhCaT0heGLPqRa4ijd3atxRBlW0rdYhfhtpYvSZJKixXHBYMNvRkqvvc/&#10;VgF9bfL8+WZep5dtJ3en92adbidKPT326zmIQH34D9/bn1pBCn9X4g2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p9edxQAAANoAAAAPAAAAAAAAAAAAAAAAAJgCAABkcnMv&#10;ZG93bnJldi54bWxQSwUGAAAAAAQABAD1AAAAigMAAAAA&#10;" filled="f" stroked="f" strokeweight="1pt">
                <v:stroke miterlimit="4"/>
                <v:textbox>
                  <w:txbxContent>
                    <w:p w:rsidR="00DE4D52" w:rsidRDefault="003A3FB9">
                      <w:pPr>
                        <w:pStyle w:val="Body"/>
                      </w:pPr>
                      <w:r>
                        <w:rPr>
                          <w:sz w:val="16"/>
                          <w:szCs w:val="16"/>
                        </w:rPr>
                        <w:t>8419727_7</w:t>
                      </w:r>
                    </w:p>
                  </w:txbxContent>
                </v:textbox>
              </v:rect>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D52" w:rsidRDefault="003B4903">
    <w:pPr>
      <w:pStyle w:val="HeaderFooter"/>
    </w:pPr>
    <w:r>
      <w:rPr>
        <w:noProof/>
      </w:rPr>
      <mc:AlternateContent>
        <mc:Choice Requires="wpg">
          <w:drawing>
            <wp:anchor distT="152400" distB="152400" distL="152400" distR="152400" simplePos="0" relativeHeight="251658240" behindDoc="1" locked="0" layoutInCell="1" allowOverlap="1">
              <wp:simplePos x="0" y="0"/>
              <wp:positionH relativeFrom="page">
                <wp:posOffset>914400</wp:posOffset>
              </wp:positionH>
              <wp:positionV relativeFrom="page">
                <wp:posOffset>9372600</wp:posOffset>
              </wp:positionV>
              <wp:extent cx="731520" cy="137160"/>
              <wp:effectExtent l="0" t="0" r="1905"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 cy="137160"/>
                        <a:chOff x="0" y="0"/>
                        <a:chExt cx="731520" cy="137160"/>
                      </a:xfrm>
                    </wpg:grpSpPr>
                    <wps:wsp>
                      <wps:cNvPr id="2" name="Rectangle 6"/>
                      <wps:cNvSpPr>
                        <a:spLocks noChangeArrowheads="1"/>
                      </wps:cNvSpPr>
                      <wps:spPr bwMode="auto">
                        <a:xfrm>
                          <a:off x="0" y="0"/>
                          <a:ext cx="731520" cy="137160"/>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wps:wsp>
                      <wps:cNvPr id="3" name="Rectangle 7"/>
                      <wps:cNvSpPr>
                        <a:spLocks noChangeArrowheads="1"/>
                      </wps:cNvSpPr>
                      <wps:spPr bwMode="auto">
                        <a:xfrm>
                          <a:off x="0" y="0"/>
                          <a:ext cx="73152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rsidR="00DE4D52" w:rsidRDefault="003A3FB9">
                            <w:pPr>
                              <w:pStyle w:val="Body"/>
                            </w:pPr>
                            <w:r>
                              <w:rPr>
                                <w:sz w:val="16"/>
                                <w:szCs w:val="16"/>
                              </w:rPr>
                              <w:t>8419727_7</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 o:spid="_x0000_s1029" style="position:absolute;margin-left:1in;margin-top:738pt;width:57.6pt;height:10.8pt;z-index:-251658240;mso-wrap-distance-left:12pt;mso-wrap-distance-top:12pt;mso-wrap-distance-right:12pt;mso-wrap-distance-bottom:12pt;mso-position-horizontal-relative:page;mso-position-vertical-relative:page" coordsize="7315,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">
              <v:rect id="Rectangle 6" o:spid="_x0000_s1030" style="position:absolute;width:7315;height:1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l8YsMA&#10;AADaAAAADwAAAGRycy9kb3ducmV2LnhtbESPQWsCMRSE7wX/Q3iCl1ITxdp2a5RSETz0otsf8Ni8&#10;brZuXpYkruu/N0Khx2FmvmFWm8G1oqcQG88aZlMFgrjypuFaw3e5e3oFEROywdYzabhShM169LDC&#10;wvgLH6g/plpkCMcCNdiUukLKWFlyGKe+I87ejw8OU5ahlibgJcNdK+dKLaXDhvOCxY4+LVWn49lp&#10;eAm/C5eU6q9v+69y+1za/vE8aD0ZDx/vIBIN6T/8194bDXO4X8k3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l8YsMAAADaAAAADwAAAAAAAAAAAAAAAACYAgAAZHJzL2Rv&#10;d25yZXYueG1sUEsFBgAAAAAEAAQA9QAAAIgDAAAAAA==&#10;" stroked="f" strokeweight="1pt">
                <v:stroke miterlimit="4"/>
              </v:rect>
              <v:rect id="Rectangle 7" o:spid="_x0000_s1031" style="position:absolute;width:7315;height:13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0BcQA&#10;AADaAAAADwAAAGRycy9kb3ducmV2LnhtbESPQWvCQBSE74X+h+UVvJS6qaItMRtRqVJvanvw+Mg+&#10;s8Hs2zS7NfHfuwWhx2FmvmGyeW9rcaHWV44VvA4TEMSF0xWXCr6/1i/vIHxA1lg7JgVX8jDPHx8y&#10;TLXreE+XQyhFhLBPUYEJoUml9IUhi37oGuLonVxrMUTZllK32EW4reUoSabSYsVxwWBDK0PF+fBr&#10;FdB2uds9X8347WfTyf3xo1lMNxOlBk/9YgYiUB/+w/f2p1Ywhr8r8Qb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QdAXEAAAA2gAAAA8AAAAAAAAAAAAAAAAAmAIAAGRycy9k&#10;b3ducmV2LnhtbFBLBQYAAAAABAAEAPUAAACJAwAAAAA=&#10;" filled="f" stroked="f" strokeweight="1pt">
                <v:stroke miterlimit="4"/>
                <v:textbox>
                  <w:txbxContent>
                    <w:p w:rsidR="00DE4D52" w:rsidRDefault="003A3FB9">
                      <w:pPr>
                        <w:pStyle w:val="Body"/>
                      </w:pPr>
                      <w:r>
                        <w:rPr>
                          <w:sz w:val="16"/>
                          <w:szCs w:val="16"/>
                        </w:rPr>
                        <w:t>8419727_7</w:t>
                      </w:r>
                    </w:p>
                  </w:txbxContent>
                </v:textbox>
              </v:rect>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6940DF"/>
    <w:multiLevelType w:val="multilevel"/>
    <w:tmpl w:val="CCEE4B4A"/>
    <w:styleLink w:val="List0"/>
    <w:lvl w:ilvl="0">
      <w:start w:val="1"/>
      <w:numFmt w:val="decimal"/>
      <w:lvlText w:val="%1."/>
      <w:lvlJc w:val="left"/>
      <w:rPr>
        <w:color w:val="000000"/>
        <w:position w:val="0"/>
        <w:u w:val="none"/>
        <w:rtl w:val="0"/>
      </w:rPr>
    </w:lvl>
    <w:lvl w:ilvl="1">
      <w:start w:val="1"/>
      <w:numFmt w:val="decimal"/>
      <w:lvlText w:val="%1."/>
      <w:lvlJc w:val="left"/>
      <w:pPr>
        <w:tabs>
          <w:tab w:val="num" w:pos="-1"/>
        </w:tabs>
        <w:ind w:left="-1"/>
      </w:pPr>
      <w:rPr>
        <w:color w:val="000000"/>
        <w:position w:val="0"/>
        <w:u w:val="single"/>
        <w:rtl w:val="0"/>
      </w:rPr>
    </w:lvl>
    <w:lvl w:ilvl="2">
      <w:start w:val="1"/>
      <w:numFmt w:val="decimal"/>
      <w:lvlText w:val="%1."/>
      <w:lvlJc w:val="left"/>
      <w:pPr>
        <w:tabs>
          <w:tab w:val="num" w:pos="-1"/>
        </w:tabs>
        <w:ind w:left="-1"/>
      </w:pPr>
      <w:rPr>
        <w:color w:val="000000"/>
        <w:position w:val="0"/>
        <w:u w:val="single"/>
        <w:rtl w:val="0"/>
      </w:rPr>
    </w:lvl>
    <w:lvl w:ilvl="3">
      <w:start w:val="1"/>
      <w:numFmt w:val="decimal"/>
      <w:lvlText w:val="%1."/>
      <w:lvlJc w:val="left"/>
      <w:pPr>
        <w:tabs>
          <w:tab w:val="num" w:pos="-1"/>
        </w:tabs>
        <w:ind w:left="-1"/>
      </w:pPr>
      <w:rPr>
        <w:color w:val="000000"/>
        <w:position w:val="0"/>
        <w:u w:val="single"/>
        <w:rtl w:val="0"/>
      </w:rPr>
    </w:lvl>
    <w:lvl w:ilvl="4">
      <w:start w:val="1"/>
      <w:numFmt w:val="decimal"/>
      <w:lvlText w:val="%1."/>
      <w:lvlJc w:val="left"/>
      <w:pPr>
        <w:tabs>
          <w:tab w:val="num" w:pos="-1"/>
        </w:tabs>
        <w:ind w:left="-1"/>
      </w:pPr>
      <w:rPr>
        <w:color w:val="000000"/>
        <w:position w:val="0"/>
        <w:u w:val="single"/>
        <w:rtl w:val="0"/>
      </w:rPr>
    </w:lvl>
    <w:lvl w:ilvl="5">
      <w:start w:val="1"/>
      <w:numFmt w:val="decimal"/>
      <w:lvlText w:val="%1."/>
      <w:lvlJc w:val="left"/>
      <w:pPr>
        <w:tabs>
          <w:tab w:val="num" w:pos="-1"/>
        </w:tabs>
        <w:ind w:left="-1"/>
      </w:pPr>
      <w:rPr>
        <w:color w:val="000000"/>
        <w:position w:val="0"/>
        <w:u w:val="single"/>
        <w:rtl w:val="0"/>
      </w:rPr>
    </w:lvl>
    <w:lvl w:ilvl="6">
      <w:start w:val="1"/>
      <w:numFmt w:val="decimal"/>
      <w:lvlText w:val="%1."/>
      <w:lvlJc w:val="left"/>
      <w:pPr>
        <w:tabs>
          <w:tab w:val="num" w:pos="-1"/>
        </w:tabs>
        <w:ind w:left="-1"/>
      </w:pPr>
      <w:rPr>
        <w:color w:val="000000"/>
        <w:position w:val="0"/>
        <w:u w:val="single"/>
        <w:rtl w:val="0"/>
      </w:rPr>
    </w:lvl>
    <w:lvl w:ilvl="7">
      <w:start w:val="1"/>
      <w:numFmt w:val="decimal"/>
      <w:lvlText w:val="%1."/>
      <w:lvlJc w:val="left"/>
      <w:pPr>
        <w:tabs>
          <w:tab w:val="num" w:pos="-1"/>
        </w:tabs>
        <w:ind w:left="-1"/>
      </w:pPr>
      <w:rPr>
        <w:color w:val="000000"/>
        <w:position w:val="0"/>
        <w:u w:val="single"/>
        <w:rtl w:val="0"/>
      </w:rPr>
    </w:lvl>
    <w:lvl w:ilvl="8">
      <w:start w:val="1"/>
      <w:numFmt w:val="decimal"/>
      <w:lvlText w:val="%1."/>
      <w:lvlJc w:val="left"/>
      <w:pPr>
        <w:tabs>
          <w:tab w:val="num" w:pos="-1"/>
        </w:tabs>
        <w:ind w:left="-1"/>
      </w:pPr>
      <w:rPr>
        <w:color w:val="000000"/>
        <w:position w:val="0"/>
        <w:u w:val="single"/>
        <w:rtl w:val="0"/>
      </w:rPr>
    </w:lvl>
  </w:abstractNum>
  <w:abstractNum w:abstractNumId="1" w15:restartNumberingAfterBreak="0">
    <w:nsid w:val="3F585E06"/>
    <w:multiLevelType w:val="multilevel"/>
    <w:tmpl w:val="D0D05EE8"/>
    <w:lvl w:ilvl="0">
      <w:start w:val="1"/>
      <w:numFmt w:val="decimal"/>
      <w:lvlText w:val="%1."/>
      <w:lvlJc w:val="left"/>
      <w:rPr>
        <w:color w:val="000000"/>
        <w:position w:val="0"/>
      </w:rPr>
    </w:lvl>
    <w:lvl w:ilvl="1">
      <w:start w:val="1"/>
      <w:numFmt w:val="decimal"/>
      <w:lvlText w:val="%1."/>
      <w:lvlJc w:val="left"/>
      <w:rPr>
        <w:color w:val="000000"/>
        <w:position w:val="0"/>
      </w:rPr>
    </w:lvl>
    <w:lvl w:ilvl="2">
      <w:start w:val="1"/>
      <w:numFmt w:val="decimal"/>
      <w:lvlText w:val="%1."/>
      <w:lvlJc w:val="left"/>
      <w:rPr>
        <w:color w:val="000000"/>
        <w:position w:val="0"/>
      </w:rPr>
    </w:lvl>
    <w:lvl w:ilvl="3">
      <w:start w:val="1"/>
      <w:numFmt w:val="decimal"/>
      <w:lvlText w:val="%1."/>
      <w:lvlJc w:val="left"/>
      <w:rPr>
        <w:color w:val="000000"/>
        <w:position w:val="0"/>
      </w:rPr>
    </w:lvl>
    <w:lvl w:ilvl="4">
      <w:start w:val="1"/>
      <w:numFmt w:val="decimal"/>
      <w:lvlText w:val="%1."/>
      <w:lvlJc w:val="left"/>
      <w:rPr>
        <w:color w:val="000000"/>
        <w:position w:val="0"/>
      </w:rPr>
    </w:lvl>
    <w:lvl w:ilvl="5">
      <w:start w:val="1"/>
      <w:numFmt w:val="decimal"/>
      <w:lvlText w:val="%1."/>
      <w:lvlJc w:val="left"/>
      <w:rPr>
        <w:color w:val="000000"/>
        <w:position w:val="0"/>
      </w:rPr>
    </w:lvl>
    <w:lvl w:ilvl="6">
      <w:start w:val="1"/>
      <w:numFmt w:val="decimal"/>
      <w:lvlText w:val="%1."/>
      <w:lvlJc w:val="left"/>
      <w:rPr>
        <w:color w:val="000000"/>
        <w:position w:val="0"/>
      </w:rPr>
    </w:lvl>
    <w:lvl w:ilvl="7">
      <w:start w:val="1"/>
      <w:numFmt w:val="decimal"/>
      <w:lvlText w:val="%1."/>
      <w:lvlJc w:val="left"/>
      <w:rPr>
        <w:color w:val="000000"/>
        <w:position w:val="0"/>
      </w:rPr>
    </w:lvl>
    <w:lvl w:ilvl="8">
      <w:start w:val="1"/>
      <w:numFmt w:val="decimal"/>
      <w:lvlText w:val="%1."/>
      <w:lvlJc w:val="left"/>
      <w:rPr>
        <w:color w:val="000000"/>
        <w:position w:val="0"/>
      </w:rPr>
    </w:lvl>
  </w:abstractNum>
  <w:abstractNum w:abstractNumId="2" w15:restartNumberingAfterBreak="0">
    <w:nsid w:val="66727E23"/>
    <w:multiLevelType w:val="multilevel"/>
    <w:tmpl w:val="5C0A4D08"/>
    <w:lvl w:ilvl="0">
      <w:start w:val="1"/>
      <w:numFmt w:val="decimal"/>
      <w:lvlText w:val="%1."/>
      <w:lvlJc w:val="left"/>
      <w:rPr>
        <w:color w:val="000000"/>
        <w:position w:val="0"/>
        <w:u w:val="single"/>
        <w:rtl w:val="0"/>
      </w:rPr>
    </w:lvl>
    <w:lvl w:ilvl="1">
      <w:start w:val="1"/>
      <w:numFmt w:val="decimal"/>
      <w:lvlText w:val="%1."/>
      <w:lvlJc w:val="left"/>
      <w:pPr>
        <w:tabs>
          <w:tab w:val="num" w:pos="-1"/>
        </w:tabs>
        <w:ind w:left="-1"/>
      </w:pPr>
      <w:rPr>
        <w:color w:val="000000"/>
        <w:position w:val="0"/>
        <w:u w:val="single"/>
        <w:rtl w:val="0"/>
      </w:rPr>
    </w:lvl>
    <w:lvl w:ilvl="2">
      <w:start w:val="1"/>
      <w:numFmt w:val="decimal"/>
      <w:lvlText w:val="%1."/>
      <w:lvlJc w:val="left"/>
      <w:pPr>
        <w:tabs>
          <w:tab w:val="num" w:pos="-1"/>
        </w:tabs>
        <w:ind w:left="-1"/>
      </w:pPr>
      <w:rPr>
        <w:color w:val="000000"/>
        <w:position w:val="0"/>
        <w:u w:val="single"/>
        <w:rtl w:val="0"/>
      </w:rPr>
    </w:lvl>
    <w:lvl w:ilvl="3">
      <w:start w:val="1"/>
      <w:numFmt w:val="decimal"/>
      <w:lvlText w:val="%1."/>
      <w:lvlJc w:val="left"/>
      <w:pPr>
        <w:tabs>
          <w:tab w:val="num" w:pos="-1"/>
        </w:tabs>
        <w:ind w:left="-1"/>
      </w:pPr>
      <w:rPr>
        <w:color w:val="000000"/>
        <w:position w:val="0"/>
        <w:u w:val="single"/>
        <w:rtl w:val="0"/>
      </w:rPr>
    </w:lvl>
    <w:lvl w:ilvl="4">
      <w:start w:val="1"/>
      <w:numFmt w:val="decimal"/>
      <w:lvlText w:val="%1."/>
      <w:lvlJc w:val="left"/>
      <w:pPr>
        <w:tabs>
          <w:tab w:val="num" w:pos="-1"/>
        </w:tabs>
        <w:ind w:left="-1"/>
      </w:pPr>
      <w:rPr>
        <w:color w:val="000000"/>
        <w:position w:val="0"/>
        <w:u w:val="single"/>
        <w:rtl w:val="0"/>
      </w:rPr>
    </w:lvl>
    <w:lvl w:ilvl="5">
      <w:start w:val="1"/>
      <w:numFmt w:val="decimal"/>
      <w:lvlText w:val="%1."/>
      <w:lvlJc w:val="left"/>
      <w:pPr>
        <w:tabs>
          <w:tab w:val="num" w:pos="-1"/>
        </w:tabs>
        <w:ind w:left="-1"/>
      </w:pPr>
      <w:rPr>
        <w:color w:val="000000"/>
        <w:position w:val="0"/>
        <w:u w:val="single"/>
        <w:rtl w:val="0"/>
      </w:rPr>
    </w:lvl>
    <w:lvl w:ilvl="6">
      <w:start w:val="1"/>
      <w:numFmt w:val="decimal"/>
      <w:lvlText w:val="%1."/>
      <w:lvlJc w:val="left"/>
      <w:pPr>
        <w:tabs>
          <w:tab w:val="num" w:pos="-1"/>
        </w:tabs>
        <w:ind w:left="-1"/>
      </w:pPr>
      <w:rPr>
        <w:color w:val="000000"/>
        <w:position w:val="0"/>
        <w:u w:val="single"/>
        <w:rtl w:val="0"/>
      </w:rPr>
    </w:lvl>
    <w:lvl w:ilvl="7">
      <w:start w:val="1"/>
      <w:numFmt w:val="decimal"/>
      <w:lvlText w:val="%1."/>
      <w:lvlJc w:val="left"/>
      <w:pPr>
        <w:tabs>
          <w:tab w:val="num" w:pos="-1"/>
        </w:tabs>
        <w:ind w:left="-1"/>
      </w:pPr>
      <w:rPr>
        <w:color w:val="000000"/>
        <w:position w:val="0"/>
        <w:u w:val="single"/>
        <w:rtl w:val="0"/>
      </w:rPr>
    </w:lvl>
    <w:lvl w:ilvl="8">
      <w:start w:val="1"/>
      <w:numFmt w:val="decimal"/>
      <w:lvlText w:val="%1."/>
      <w:lvlJc w:val="left"/>
      <w:pPr>
        <w:tabs>
          <w:tab w:val="num" w:pos="-1"/>
        </w:tabs>
        <w:ind w:left="-1"/>
      </w:pPr>
      <w:rPr>
        <w:color w:val="000000"/>
        <w:position w:val="0"/>
        <w:u w:val="single"/>
        <w:rtl w:val="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D52"/>
    <w:rsid w:val="000021DF"/>
    <w:rsid w:val="001B79E2"/>
    <w:rsid w:val="003609E9"/>
    <w:rsid w:val="003A3FB9"/>
    <w:rsid w:val="003B4903"/>
    <w:rsid w:val="00437FB7"/>
    <w:rsid w:val="00485687"/>
    <w:rsid w:val="00577204"/>
    <w:rsid w:val="0073157C"/>
    <w:rsid w:val="00B23CFC"/>
    <w:rsid w:val="00DE4D52"/>
    <w:rsid w:val="00E24E63"/>
    <w:rsid w:val="00E72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64F4340-8EDD-4483-88C9-F243F67E4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E4D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E4D52"/>
    <w:rPr>
      <w:u w:val="single"/>
    </w:rPr>
  </w:style>
  <w:style w:type="paragraph" w:customStyle="1" w:styleId="HeaderFooter">
    <w:name w:val="Header &amp; Footer"/>
    <w:rsid w:val="00DE4D52"/>
    <w:pPr>
      <w:tabs>
        <w:tab w:val="right" w:pos="9020"/>
      </w:tabs>
    </w:pPr>
    <w:rPr>
      <w:rFonts w:ascii="Helvetica" w:hAnsi="Arial Unicode MS" w:cs="Arial Unicode MS"/>
      <w:color w:val="000000"/>
      <w:sz w:val="24"/>
      <w:szCs w:val="24"/>
    </w:rPr>
  </w:style>
  <w:style w:type="paragraph" w:customStyle="1" w:styleId="Body">
    <w:name w:val="Body"/>
    <w:rsid w:val="00DE4D52"/>
    <w:rPr>
      <w:rFonts w:hAnsi="Arial Unicode MS" w:cs="Arial Unicode MS"/>
      <w:color w:val="000000"/>
      <w:sz w:val="24"/>
      <w:szCs w:val="24"/>
      <w:u w:color="000000"/>
    </w:rPr>
  </w:style>
  <w:style w:type="paragraph" w:styleId="Footer">
    <w:name w:val="footer"/>
    <w:rsid w:val="00DE4D52"/>
    <w:pPr>
      <w:tabs>
        <w:tab w:val="center" w:pos="4680"/>
        <w:tab w:val="right" w:pos="9360"/>
      </w:tabs>
    </w:pPr>
    <w:rPr>
      <w:rFonts w:eastAsia="Times New Roman"/>
      <w:color w:val="000000"/>
      <w:sz w:val="24"/>
      <w:szCs w:val="24"/>
      <w:u w:color="000000"/>
    </w:rPr>
  </w:style>
  <w:style w:type="paragraph" w:customStyle="1" w:styleId="Title1">
    <w:name w:val="Title 1"/>
    <w:rsid w:val="00DE4D52"/>
    <w:pPr>
      <w:spacing w:after="240"/>
      <w:jc w:val="center"/>
    </w:pPr>
    <w:rPr>
      <w:rFonts w:hAnsi="Arial Unicode MS" w:cs="Arial Unicode MS"/>
      <w:b/>
      <w:bCs/>
      <w:color w:val="000000"/>
      <w:sz w:val="24"/>
      <w:szCs w:val="24"/>
      <w:u w:color="000000"/>
    </w:rPr>
  </w:style>
  <w:style w:type="paragraph" w:customStyle="1" w:styleId="Spacer">
    <w:name w:val="Spacer"/>
    <w:rsid w:val="00DE4D52"/>
    <w:rPr>
      <w:rFonts w:eastAsia="Times New Roman"/>
      <w:color w:val="000000"/>
      <w:sz w:val="24"/>
      <w:szCs w:val="24"/>
      <w:u w:color="000000"/>
    </w:rPr>
  </w:style>
  <w:style w:type="paragraph" w:styleId="BodyText">
    <w:name w:val="Body Text"/>
    <w:rsid w:val="00DE4D52"/>
    <w:pPr>
      <w:spacing w:after="240"/>
      <w:ind w:firstLine="720"/>
    </w:pPr>
    <w:rPr>
      <w:rFonts w:hAnsi="Arial Unicode MS" w:cs="Arial Unicode MS"/>
      <w:color w:val="000000"/>
      <w:sz w:val="24"/>
      <w:szCs w:val="24"/>
      <w:u w:color="000000"/>
    </w:rPr>
  </w:style>
  <w:style w:type="paragraph" w:customStyle="1" w:styleId="Heading">
    <w:name w:val="Heading"/>
    <w:next w:val="BodyText"/>
    <w:rsid w:val="00DE4D52"/>
    <w:pPr>
      <w:spacing w:after="240"/>
      <w:ind w:firstLine="720"/>
      <w:outlineLvl w:val="0"/>
    </w:pPr>
    <w:rPr>
      <w:rFonts w:hAnsi="Arial Unicode MS" w:cs="Arial Unicode MS"/>
      <w:color w:val="000000"/>
      <w:sz w:val="24"/>
      <w:szCs w:val="24"/>
      <w:u w:color="000000"/>
    </w:rPr>
  </w:style>
  <w:style w:type="numbering" w:customStyle="1" w:styleId="List0">
    <w:name w:val="List 0"/>
    <w:basedOn w:val="ImportedStyle1"/>
    <w:rsid w:val="00DE4D52"/>
    <w:pPr>
      <w:numPr>
        <w:numId w:val="3"/>
      </w:numPr>
    </w:pPr>
  </w:style>
  <w:style w:type="numbering" w:customStyle="1" w:styleId="ImportedStyle1">
    <w:name w:val="Imported Style 1"/>
    <w:rsid w:val="00DE4D52"/>
  </w:style>
  <w:style w:type="paragraph" w:customStyle="1" w:styleId="Indent1">
    <w:name w:val="Indent 1"/>
    <w:rsid w:val="00DE4D52"/>
    <w:pPr>
      <w:spacing w:after="240"/>
      <w:ind w:firstLine="1440"/>
    </w:pPr>
    <w:rPr>
      <w:rFonts w:hAnsi="Arial Unicode MS" w:cs="Arial Unicode MS"/>
      <w:color w:val="000000"/>
      <w:sz w:val="24"/>
      <w:szCs w:val="24"/>
      <w:u w:color="000000"/>
    </w:rPr>
  </w:style>
  <w:style w:type="paragraph" w:styleId="BodyText2">
    <w:name w:val="Body Text 2"/>
    <w:rsid w:val="00DE4D52"/>
    <w:pPr>
      <w:spacing w:after="240"/>
    </w:pPr>
    <w:rPr>
      <w:rFonts w:hAnsi="Arial Unicode M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5E07EBDA257B41B1DC4EF62B9B678F" ma:contentTypeVersion="7" ma:contentTypeDescription="Create a new document." ma:contentTypeScope="" ma:versionID="df06a157ab6c8d7320970a05c2229920">
  <xsd:schema xmlns:xsd="http://www.w3.org/2001/XMLSchema" xmlns:xs="http://www.w3.org/2001/XMLSchema" xmlns:p="http://schemas.microsoft.com/office/2006/metadata/properties" xmlns:ns2="ad908769-e715-4f1d-947e-3abba029c690" xmlns:ns3="ebd9ca2f-d9c5-491d-93d7-fb1e665070d5" targetNamespace="http://schemas.microsoft.com/office/2006/metadata/properties" ma:root="true" ma:fieldsID="a1e646c63d44a4368ad624fad35c29ec" ns2:_="" ns3:_="">
    <xsd:import namespace="ad908769-e715-4f1d-947e-3abba029c690"/>
    <xsd:import namespace="ebd9ca2f-d9c5-491d-93d7-fb1e665070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08769-e715-4f1d-947e-3abba029c69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d9ca2f-d9c5-491d-93d7-fb1e665070d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E65262-8EDB-4919-8115-7DE2E0A81641}">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ad908769-e715-4f1d-947e-3abba029c690"/>
    <ds:schemaRef ds:uri="ebd9ca2f-d9c5-491d-93d7-fb1e665070d5"/>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A48AF94-7F9C-4373-B302-E1FAB44BB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08769-e715-4f1d-947e-3abba029c690"/>
    <ds:schemaRef ds:uri="ebd9ca2f-d9c5-491d-93d7-fb1e66507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C132EE-2FA6-4A63-A975-4119EFE837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Dangler</dc:creator>
  <cp:lastModifiedBy>Margo, Tom</cp:lastModifiedBy>
  <cp:revision>2</cp:revision>
  <dcterms:created xsi:type="dcterms:W3CDTF">2017-12-21T16:37:00Z</dcterms:created>
  <dcterms:modified xsi:type="dcterms:W3CDTF">2017-12-21T16:37:00Z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0x010100EA5E07EBDA257B41B1DC4EF62B9B678F</vt:lpwstr>
  </property>
</Properties>
</file>